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CA0" w:rsidRDefault="00F25CA0" w:rsidP="00F25CA0">
      <w:pPr>
        <w:pStyle w:val="Akapitzlist"/>
        <w:rPr>
          <w:b/>
          <w:sz w:val="32"/>
          <w:szCs w:val="32"/>
        </w:rPr>
      </w:pPr>
      <w:r w:rsidRPr="00F25CA0">
        <w:rPr>
          <w:b/>
          <w:sz w:val="32"/>
          <w:szCs w:val="32"/>
        </w:rPr>
        <w:t>Zmiany wprowadzone w wersji „</w:t>
      </w:r>
      <w:r w:rsidR="002C7433">
        <w:rPr>
          <w:b/>
          <w:sz w:val="32"/>
          <w:szCs w:val="32"/>
        </w:rPr>
        <w:t>4.18.</w:t>
      </w:r>
      <w:r w:rsidR="00472D4D">
        <w:rPr>
          <w:b/>
          <w:sz w:val="32"/>
          <w:szCs w:val="32"/>
        </w:rPr>
        <w:t>J</w:t>
      </w:r>
      <w:r w:rsidRPr="00F25CA0">
        <w:rPr>
          <w:b/>
          <w:sz w:val="32"/>
          <w:szCs w:val="32"/>
        </w:rPr>
        <w:t>” programu PBAZA</w:t>
      </w:r>
    </w:p>
    <w:p w:rsidR="00F25CA0" w:rsidRPr="00F25CA0" w:rsidRDefault="00F25CA0" w:rsidP="00F25CA0">
      <w:pPr>
        <w:pStyle w:val="Akapitzlist"/>
        <w:rPr>
          <w:b/>
          <w:sz w:val="32"/>
          <w:szCs w:val="32"/>
        </w:rPr>
      </w:pPr>
    </w:p>
    <w:p w:rsidR="00FD305F" w:rsidRPr="00FD1A24" w:rsidRDefault="00FD305F" w:rsidP="00FD1A24">
      <w:pPr>
        <w:pStyle w:val="Akapitzlist"/>
        <w:numPr>
          <w:ilvl w:val="0"/>
          <w:numId w:val="3"/>
        </w:numPr>
        <w:ind w:left="0" w:firstLine="0"/>
        <w:rPr>
          <w:b/>
          <w:sz w:val="32"/>
          <w:szCs w:val="32"/>
        </w:rPr>
      </w:pPr>
      <w:r w:rsidRPr="00FD1A24">
        <w:rPr>
          <w:sz w:val="26"/>
          <w:szCs w:val="26"/>
        </w:rPr>
        <w:t xml:space="preserve">Dodano możliwość zabezpieczenia przed udzieleniem kolejnego kredytu </w:t>
      </w:r>
      <w:proofErr w:type="gramStart"/>
      <w:r w:rsidRPr="00FD1A24">
        <w:rPr>
          <w:sz w:val="26"/>
          <w:szCs w:val="26"/>
        </w:rPr>
        <w:t>klientowi gdy</w:t>
      </w:r>
      <w:proofErr w:type="gramEnd"/>
      <w:r w:rsidRPr="00FD1A24">
        <w:rPr>
          <w:sz w:val="26"/>
          <w:szCs w:val="26"/>
        </w:rPr>
        <w:t xml:space="preserve"> od wypłaty jego ostatniego kredytu minęło mniej niż 120 dni. Aby włączyć zabezpieczenie należy przejść do:</w:t>
      </w:r>
    </w:p>
    <w:p w:rsidR="00FD305F" w:rsidRPr="00FD1A24" w:rsidRDefault="00FD305F">
      <w:pPr>
        <w:rPr>
          <w:i/>
          <w:sz w:val="24"/>
          <w:szCs w:val="24"/>
        </w:rPr>
      </w:pPr>
      <w:r w:rsidRPr="00FD1A24">
        <w:rPr>
          <w:i/>
          <w:sz w:val="24"/>
          <w:szCs w:val="24"/>
        </w:rPr>
        <w:t>Okno główne -&gt; menu „Baza” -&gt; następnie „Konfiguracja” -&gt; klikamy w „Systemu”</w:t>
      </w:r>
    </w:p>
    <w:p w:rsidR="00E429B9" w:rsidRPr="00FD1A24" w:rsidRDefault="00FD305F" w:rsidP="00D94E28">
      <w:pPr>
        <w:ind w:firstLine="708"/>
        <w:rPr>
          <w:sz w:val="26"/>
          <w:szCs w:val="26"/>
        </w:rPr>
      </w:pPr>
      <w:r w:rsidRPr="00FD1A24">
        <w:rPr>
          <w:sz w:val="26"/>
          <w:szCs w:val="26"/>
        </w:rPr>
        <w:t>Następnie otworzy nam się okno i w poszukiwany parametr należy wpisać np. „</w:t>
      </w:r>
      <w:r w:rsidRPr="00FD1A24">
        <w:rPr>
          <w:i/>
          <w:sz w:val="26"/>
          <w:szCs w:val="26"/>
        </w:rPr>
        <w:t>blokować</w:t>
      </w:r>
      <w:r w:rsidRPr="00FD1A24">
        <w:rPr>
          <w:sz w:val="26"/>
          <w:szCs w:val="26"/>
        </w:rPr>
        <w:t xml:space="preserve">”, otrzymamy jeden wynik. Po dwukrotnym kliknięciu </w:t>
      </w:r>
      <w:r w:rsidR="00D94E28" w:rsidRPr="00FD1A24">
        <w:rPr>
          <w:sz w:val="26"/>
          <w:szCs w:val="26"/>
        </w:rPr>
        <w:t xml:space="preserve">na otrzymany wynik, </w:t>
      </w:r>
      <w:r w:rsidRPr="00FD1A24">
        <w:rPr>
          <w:sz w:val="26"/>
          <w:szCs w:val="26"/>
        </w:rPr>
        <w:t xml:space="preserve">otworzy nam się </w:t>
      </w:r>
      <w:r w:rsidR="00D94E28" w:rsidRPr="00FD1A24">
        <w:rPr>
          <w:sz w:val="26"/>
          <w:szCs w:val="26"/>
        </w:rPr>
        <w:t xml:space="preserve">okno konfiguracji, </w:t>
      </w:r>
      <w:r w:rsidRPr="00FD1A24">
        <w:rPr>
          <w:sz w:val="26"/>
          <w:szCs w:val="26"/>
        </w:rPr>
        <w:t>w którym należy wybrać opcje „Tak” a następnie naciskamy przycisk „Zapisz”.</w:t>
      </w:r>
      <w:r w:rsidR="00E429B9" w:rsidRPr="00FD1A24">
        <w:rPr>
          <w:sz w:val="26"/>
          <w:szCs w:val="26"/>
        </w:rPr>
        <w:t xml:space="preserve"> O</w:t>
      </w:r>
      <w:r w:rsidR="00D94E28" w:rsidRPr="00FD1A24">
        <w:rPr>
          <w:sz w:val="26"/>
          <w:szCs w:val="26"/>
        </w:rPr>
        <w:t>to przykład:</w:t>
      </w:r>
    </w:p>
    <w:p w:rsidR="00D94E28" w:rsidRDefault="00D94E28" w:rsidP="005D301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0648" cy="319087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30" cy="31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9B9" w:rsidRPr="00FD1A24" w:rsidRDefault="00E429B9" w:rsidP="00D94E28">
      <w:pPr>
        <w:ind w:firstLine="708"/>
        <w:rPr>
          <w:sz w:val="26"/>
          <w:szCs w:val="26"/>
        </w:rPr>
      </w:pPr>
      <w:r w:rsidRPr="00FD1A24">
        <w:rPr>
          <w:sz w:val="26"/>
          <w:szCs w:val="26"/>
        </w:rPr>
        <w:t>Aby móc zobaczyć jak działa funkcja zaznaczamy klienta, któremu udzieliliśmy kredyt w odstępnie mniejszym niż 120 dni i próbuje</w:t>
      </w:r>
      <w:r w:rsidR="00D94E28" w:rsidRPr="00FD1A24">
        <w:rPr>
          <w:sz w:val="26"/>
          <w:szCs w:val="26"/>
        </w:rPr>
        <w:t xml:space="preserve">my </w:t>
      </w:r>
      <w:r w:rsidRPr="00FD1A24">
        <w:rPr>
          <w:sz w:val="26"/>
          <w:szCs w:val="26"/>
        </w:rPr>
        <w:t>zarejestrować nowy wniosek</w:t>
      </w:r>
      <w:r w:rsidR="00D94E28" w:rsidRPr="00FD1A24">
        <w:rPr>
          <w:sz w:val="26"/>
          <w:szCs w:val="26"/>
        </w:rPr>
        <w:t xml:space="preserve"> poprzez klikniecie w przycisk „Rej. Wniosku”</w:t>
      </w:r>
      <w:r w:rsidRPr="00FD1A24">
        <w:rPr>
          <w:sz w:val="26"/>
          <w:szCs w:val="26"/>
        </w:rPr>
        <w:t>. Pokaże nam się poniższy komunikat.</w:t>
      </w:r>
      <w:r w:rsidR="00D94E28" w:rsidRPr="00FD1A24">
        <w:rPr>
          <w:sz w:val="26"/>
          <w:szCs w:val="26"/>
        </w:rPr>
        <w:t xml:space="preserve"> (</w:t>
      </w:r>
      <w:proofErr w:type="gramStart"/>
      <w:r w:rsidR="000B3065" w:rsidRPr="00FD1A24">
        <w:rPr>
          <w:sz w:val="26"/>
          <w:szCs w:val="26"/>
        </w:rPr>
        <w:t>o</w:t>
      </w:r>
      <w:r w:rsidR="00D94E28" w:rsidRPr="00FD1A24">
        <w:rPr>
          <w:sz w:val="26"/>
          <w:szCs w:val="26"/>
        </w:rPr>
        <w:t>pcja</w:t>
      </w:r>
      <w:proofErr w:type="gramEnd"/>
      <w:r w:rsidR="00D94E28" w:rsidRPr="00FD1A24">
        <w:rPr>
          <w:sz w:val="26"/>
          <w:szCs w:val="26"/>
        </w:rPr>
        <w:t xml:space="preserve"> dla klienta firmowego)</w:t>
      </w:r>
    </w:p>
    <w:p w:rsidR="00E429B9" w:rsidRDefault="00E429B9"/>
    <w:p w:rsidR="00D94E28" w:rsidRDefault="00D94E28" w:rsidP="005D301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30563" cy="300037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81" cy="300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5F" w:rsidRPr="00FD1A24" w:rsidRDefault="00E429B9" w:rsidP="00D94E28">
      <w:pPr>
        <w:ind w:firstLine="708"/>
        <w:rPr>
          <w:sz w:val="26"/>
          <w:szCs w:val="26"/>
        </w:rPr>
      </w:pPr>
      <w:r w:rsidRPr="00FD1A24">
        <w:rPr>
          <w:sz w:val="26"/>
          <w:szCs w:val="26"/>
        </w:rPr>
        <w:t xml:space="preserve">W przypadku rejestracji wniosku dla osób fizycznych </w:t>
      </w:r>
      <w:r w:rsidR="00D94E28" w:rsidRPr="00FD1A24">
        <w:rPr>
          <w:sz w:val="26"/>
          <w:szCs w:val="26"/>
        </w:rPr>
        <w:t>i naciśnięciu przycisku „Rej. Wniosku”</w:t>
      </w:r>
      <w:r w:rsidR="000B3065" w:rsidRPr="00FD1A24">
        <w:rPr>
          <w:sz w:val="26"/>
          <w:szCs w:val="26"/>
        </w:rPr>
        <w:t xml:space="preserve"> zobaczymy poniższe okno, wyszukujemy tutaj klienta jak na rysunku poniżej. </w:t>
      </w:r>
    </w:p>
    <w:p w:rsidR="000B3065" w:rsidRDefault="000B3065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28867" cy="3267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63" cy="32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65" w:rsidRPr="00FD1A24" w:rsidRDefault="000B3065" w:rsidP="000B3065">
      <w:pPr>
        <w:ind w:firstLine="708"/>
        <w:rPr>
          <w:sz w:val="26"/>
          <w:szCs w:val="26"/>
        </w:rPr>
      </w:pPr>
      <w:r w:rsidRPr="00FD1A24">
        <w:rPr>
          <w:sz w:val="26"/>
          <w:szCs w:val="26"/>
        </w:rPr>
        <w:t>Po wybraniu klienta, który miał wypłacony kredyt wcześniej niż 120 dni otrzymamy komunikat.</w:t>
      </w:r>
    </w:p>
    <w:p w:rsidR="000B3065" w:rsidRDefault="000B3065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38750" cy="33813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18" cy="33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24" w:rsidRDefault="00FD1A24" w:rsidP="000B3065">
      <w:pPr>
        <w:rPr>
          <w:sz w:val="28"/>
          <w:szCs w:val="28"/>
        </w:rPr>
      </w:pPr>
    </w:p>
    <w:p w:rsidR="00F76708" w:rsidRDefault="00F76708" w:rsidP="000B3065">
      <w:pPr>
        <w:rPr>
          <w:sz w:val="28"/>
          <w:szCs w:val="28"/>
        </w:rPr>
      </w:pPr>
    </w:p>
    <w:p w:rsidR="00FD1A24" w:rsidRDefault="00FD1A24" w:rsidP="00FD1A24">
      <w:pPr>
        <w:pStyle w:val="Akapitzlist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Dodano możliwość przenoszenia całych grup zawierających wydruki do innych podgrup wydruków. </w:t>
      </w:r>
      <w:r w:rsidR="003D47D8">
        <w:rPr>
          <w:sz w:val="28"/>
          <w:szCs w:val="28"/>
        </w:rPr>
        <w:t>Oto przykład:</w:t>
      </w:r>
    </w:p>
    <w:p w:rsidR="003D47D8" w:rsidRPr="003D47D8" w:rsidRDefault="003D47D8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46370" cy="3257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D8" w:rsidRDefault="00F76708" w:rsidP="003D47D8">
      <w:pPr>
        <w:rPr>
          <w:sz w:val="28"/>
          <w:szCs w:val="28"/>
        </w:rPr>
      </w:pPr>
      <w:r>
        <w:rPr>
          <w:sz w:val="28"/>
          <w:szCs w:val="28"/>
        </w:rPr>
        <w:lastRenderedPageBreak/>
        <w:t>Klikamy na</w:t>
      </w:r>
      <w:r w:rsidR="003D47D8">
        <w:rPr>
          <w:sz w:val="28"/>
          <w:szCs w:val="28"/>
        </w:rPr>
        <w:t xml:space="preserve"> wydruk o nazwie „Mail2” a następnie naciskamy przycisk „Przekaż do grupy”, wpisujemy </w:t>
      </w:r>
      <w:r>
        <w:rPr>
          <w:sz w:val="28"/>
          <w:szCs w:val="28"/>
        </w:rPr>
        <w:t xml:space="preserve">nazwę </w:t>
      </w:r>
      <w:proofErr w:type="gramStart"/>
      <w:r>
        <w:rPr>
          <w:sz w:val="28"/>
          <w:szCs w:val="28"/>
        </w:rPr>
        <w:t>grupy do której</w:t>
      </w:r>
      <w:proofErr w:type="gramEnd"/>
      <w:r>
        <w:rPr>
          <w:sz w:val="28"/>
          <w:szCs w:val="28"/>
        </w:rPr>
        <w:t xml:space="preserve"> chcemy przekazać i naciskamy przycisk „OK”. Poniżej wynik naszego działania:</w:t>
      </w:r>
    </w:p>
    <w:p w:rsidR="00F76708" w:rsidRDefault="00F76708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105400" cy="2990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12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08" w:rsidRDefault="00F76708" w:rsidP="003D47D8">
      <w:pPr>
        <w:rPr>
          <w:sz w:val="28"/>
          <w:szCs w:val="28"/>
        </w:rPr>
      </w:pPr>
      <w:r>
        <w:rPr>
          <w:sz w:val="28"/>
          <w:szCs w:val="28"/>
        </w:rPr>
        <w:t xml:space="preserve">Jak widać na powyższym rysunku wydruk został przekazany do innego </w:t>
      </w:r>
      <w:proofErr w:type="gramStart"/>
      <w:r>
        <w:rPr>
          <w:sz w:val="28"/>
          <w:szCs w:val="28"/>
        </w:rPr>
        <w:t xml:space="preserve">grupy. </w:t>
      </w:r>
      <w:proofErr w:type="gramEnd"/>
      <w:r>
        <w:rPr>
          <w:sz w:val="28"/>
          <w:szCs w:val="28"/>
        </w:rPr>
        <w:t>To samo możemy robić z grupami wydruków i przenosić je do innych grup, zasada jest taka sama. Oto wynik:</w:t>
      </w:r>
    </w:p>
    <w:p w:rsidR="00F76708" w:rsidRDefault="00F76708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38750" cy="29908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18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08" w:rsidRPr="003D47D8" w:rsidRDefault="00F76708" w:rsidP="00F76708">
      <w:pPr>
        <w:ind w:firstLine="708"/>
        <w:rPr>
          <w:sz w:val="28"/>
          <w:szCs w:val="28"/>
        </w:rPr>
      </w:pPr>
      <w:r>
        <w:rPr>
          <w:sz w:val="28"/>
          <w:szCs w:val="28"/>
        </w:rPr>
        <w:t>Jak widać grupa „</w:t>
      </w:r>
      <w:proofErr w:type="spellStart"/>
      <w:r>
        <w:rPr>
          <w:sz w:val="28"/>
          <w:szCs w:val="28"/>
        </w:rPr>
        <w:t>Mailllll</w:t>
      </w:r>
      <w:proofErr w:type="spellEnd"/>
      <w:r>
        <w:rPr>
          <w:sz w:val="28"/>
          <w:szCs w:val="28"/>
        </w:rPr>
        <w:t>” znajduje się teraz w grupie „</w:t>
      </w:r>
      <w:proofErr w:type="spellStart"/>
      <w:r>
        <w:rPr>
          <w:sz w:val="28"/>
          <w:szCs w:val="28"/>
        </w:rPr>
        <w:t>Maill</w:t>
      </w:r>
      <w:proofErr w:type="spellEnd"/>
      <w:r>
        <w:rPr>
          <w:sz w:val="28"/>
          <w:szCs w:val="28"/>
        </w:rPr>
        <w:t>”, aby grupę „</w:t>
      </w:r>
      <w:proofErr w:type="spellStart"/>
      <w:r>
        <w:rPr>
          <w:sz w:val="28"/>
          <w:szCs w:val="28"/>
        </w:rPr>
        <w:t>Mailllll</w:t>
      </w:r>
      <w:proofErr w:type="spellEnd"/>
      <w:r>
        <w:rPr>
          <w:sz w:val="28"/>
          <w:szCs w:val="28"/>
        </w:rPr>
        <w:t>” wyciągnąć z grupy „</w:t>
      </w:r>
      <w:proofErr w:type="spellStart"/>
      <w:r>
        <w:rPr>
          <w:sz w:val="28"/>
          <w:szCs w:val="28"/>
        </w:rPr>
        <w:t>Maill</w:t>
      </w:r>
      <w:proofErr w:type="spellEnd"/>
      <w:r>
        <w:rPr>
          <w:sz w:val="28"/>
          <w:szCs w:val="28"/>
        </w:rPr>
        <w:t>” należy w nazwie przekazanej grupy zostawić puste miejsce i nacisnąć przycisk „</w:t>
      </w:r>
      <w:proofErr w:type="gramStart"/>
      <w:r>
        <w:rPr>
          <w:sz w:val="28"/>
          <w:szCs w:val="28"/>
        </w:rPr>
        <w:t xml:space="preserve">OK”. </w:t>
      </w:r>
      <w:proofErr w:type="gramEnd"/>
    </w:p>
    <w:p w:rsidR="003D47D8" w:rsidRPr="003D47D8" w:rsidRDefault="0019451E" w:rsidP="003D47D8">
      <w:pPr>
        <w:pStyle w:val="Akapitzlist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Dodano wyszukiwarkę </w:t>
      </w:r>
      <w:r w:rsidR="00FA5AA6">
        <w:rPr>
          <w:sz w:val="28"/>
          <w:szCs w:val="28"/>
        </w:rPr>
        <w:t>o nazwie „</w:t>
      </w:r>
      <w:r>
        <w:rPr>
          <w:sz w:val="28"/>
          <w:szCs w:val="28"/>
        </w:rPr>
        <w:t>REGON</w:t>
      </w:r>
      <w:r w:rsidR="00FA5AA6">
        <w:rPr>
          <w:sz w:val="28"/>
          <w:szCs w:val="28"/>
        </w:rPr>
        <w:t>”</w:t>
      </w:r>
      <w:r>
        <w:rPr>
          <w:sz w:val="28"/>
          <w:szCs w:val="28"/>
        </w:rPr>
        <w:t xml:space="preserve"> dla klienta indywidualnego</w:t>
      </w:r>
      <w:r w:rsidR="00FA5AA6">
        <w:rPr>
          <w:sz w:val="28"/>
          <w:szCs w:val="28"/>
        </w:rPr>
        <w:t>, która pozwala na pobranie danych o firmie/działalności</w:t>
      </w:r>
      <w:r>
        <w:rPr>
          <w:sz w:val="28"/>
          <w:szCs w:val="28"/>
        </w:rPr>
        <w:t>.</w:t>
      </w:r>
      <w:r w:rsidR="003D47D8">
        <w:rPr>
          <w:sz w:val="28"/>
          <w:szCs w:val="28"/>
        </w:rPr>
        <w:t xml:space="preserve"> Należy przejść do </w:t>
      </w:r>
      <w:r w:rsidR="003D47D8" w:rsidRPr="003D47D8">
        <w:rPr>
          <w:i/>
          <w:sz w:val="26"/>
          <w:szCs w:val="26"/>
        </w:rPr>
        <w:t xml:space="preserve">Okno </w:t>
      </w:r>
      <w:proofErr w:type="gramStart"/>
      <w:r w:rsidR="003D47D8" w:rsidRPr="003D47D8">
        <w:rPr>
          <w:i/>
          <w:sz w:val="26"/>
          <w:szCs w:val="26"/>
        </w:rPr>
        <w:t>Główne  -&gt; przycisk</w:t>
      </w:r>
      <w:proofErr w:type="gramEnd"/>
      <w:r w:rsidR="003D47D8" w:rsidRPr="003D47D8">
        <w:rPr>
          <w:i/>
          <w:sz w:val="26"/>
          <w:szCs w:val="26"/>
        </w:rPr>
        <w:t xml:space="preserve"> „Nowa osoba”</w:t>
      </w:r>
    </w:p>
    <w:p w:rsidR="003D47D8" w:rsidRDefault="003D47D8" w:rsidP="005D3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162550" cy="311379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43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65" w:rsidRDefault="000B3065" w:rsidP="000B3065">
      <w:pPr>
        <w:rPr>
          <w:sz w:val="28"/>
          <w:szCs w:val="28"/>
        </w:rPr>
      </w:pPr>
    </w:p>
    <w:p w:rsidR="00F850CA" w:rsidRDefault="00F850CA" w:rsidP="000B3065">
      <w:pPr>
        <w:rPr>
          <w:sz w:val="28"/>
          <w:szCs w:val="28"/>
        </w:rPr>
      </w:pPr>
    </w:p>
    <w:p w:rsidR="00F850CA" w:rsidRDefault="00F850CA" w:rsidP="00F850CA">
      <w:pPr>
        <w:pStyle w:val="Akapitzlist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Dodano możliwość szyfrowania hasła, które będzie </w:t>
      </w:r>
      <w:proofErr w:type="gramStart"/>
      <w:r>
        <w:rPr>
          <w:sz w:val="28"/>
          <w:szCs w:val="28"/>
        </w:rPr>
        <w:t>zabezpieczało aby</w:t>
      </w:r>
      <w:proofErr w:type="gramEnd"/>
      <w:r>
        <w:rPr>
          <w:sz w:val="28"/>
          <w:szCs w:val="28"/>
        </w:rPr>
        <w:t xml:space="preserve"> nikt niepowołany nie miał dostępu do naszych danych. Bardziej szczegółowo ta funkcjonalność została opisana w oddzielnym pliku o nawie „Dokumentacja Szyfrowanie hasła”.</w:t>
      </w:r>
    </w:p>
    <w:p w:rsidR="005A422A" w:rsidRDefault="005A422A" w:rsidP="005A422A">
      <w:pPr>
        <w:rPr>
          <w:sz w:val="28"/>
          <w:szCs w:val="28"/>
        </w:rPr>
      </w:pPr>
    </w:p>
    <w:p w:rsidR="005A422A" w:rsidRPr="005A422A" w:rsidRDefault="005A422A" w:rsidP="005A422A">
      <w:pPr>
        <w:rPr>
          <w:sz w:val="28"/>
          <w:szCs w:val="28"/>
        </w:rPr>
      </w:pPr>
    </w:p>
    <w:p w:rsidR="002C7433" w:rsidRPr="002C7433" w:rsidRDefault="002C7433" w:rsidP="002C7433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2C7433">
        <w:rPr>
          <w:sz w:val="28"/>
          <w:szCs w:val="28"/>
        </w:rPr>
        <w:t>Dokumentacja przelewy z BGK (XML)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ab/>
        <w:t xml:space="preserve">Dokumentacja stanowi instrukcję zaczytania przelewów bankowych BGK do programu PBAZA. Pierwszą rzeczą, jaką należy zrobić jest ustawienie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proofErr w:type="gramStart"/>
      <w:r w:rsidRPr="002C7433">
        <w:rPr>
          <w:sz w:val="28"/>
          <w:szCs w:val="28"/>
        </w:rPr>
        <w:t>w</w:t>
      </w:r>
      <w:proofErr w:type="gramEnd"/>
      <w:r w:rsidRPr="002C7433">
        <w:rPr>
          <w:sz w:val="28"/>
          <w:szCs w:val="28"/>
        </w:rPr>
        <w:t xml:space="preserve"> konfiguracji odpowiedniego formatu odczytu pliku dla danego banku. Zatem przechodzimy do: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lastRenderedPageBreak/>
        <w:t>Okno Główne -&gt; menu „Baza” -&gt; następnie „Konfiguracja” -&gt; „Systemu” -&gt; po czym otworzy nam się okno o nazwie „Dane konfiguracyjne”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Następnie w szukany parametr wpisujemy „Format pliku”, powinniśmy otrzymać wynik jak na powyższym oknie. Klikamy dwukrotnie na otrzymany wynik poszukiwań, po czym wyświetli nam się okno zawierające listę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proofErr w:type="gramStart"/>
      <w:r w:rsidRPr="002C7433">
        <w:rPr>
          <w:sz w:val="28"/>
          <w:szCs w:val="28"/>
        </w:rPr>
        <w:t>z</w:t>
      </w:r>
      <w:proofErr w:type="gramEnd"/>
      <w:r w:rsidRPr="002C7433">
        <w:rPr>
          <w:sz w:val="28"/>
          <w:szCs w:val="28"/>
        </w:rPr>
        <w:t xml:space="preserve"> rodzajami plików. Wybieramy z listy „Bank BGK (XML</w:t>
      </w:r>
      <w:proofErr w:type="gramStart"/>
      <w:r w:rsidRPr="002C7433">
        <w:rPr>
          <w:sz w:val="28"/>
          <w:szCs w:val="28"/>
        </w:rPr>
        <w:t>)”, a</w:t>
      </w:r>
      <w:proofErr w:type="gramEnd"/>
      <w:r w:rsidRPr="002C7433">
        <w:rPr>
          <w:sz w:val="28"/>
          <w:szCs w:val="28"/>
        </w:rPr>
        <w:t xml:space="preserve"> następnie naciskamy przycisk „OK”.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 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ab/>
        <w:t>Następnym krokiem po wybraniu pliku konfiguracyjnego jest przejście do podanej poniżej ścieżki i zaczytanie przelewów.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Okno Główne -&gt; menu „Baza” -&gt; następnie ”Przelewy z BANKU” -&gt; klikamy w opcję „Zaczytaj przelewy format XML”, po czym otworzy nam się okno, w którym będziemy musieli odnaleźć nasz plik z rozszerzeniem „.</w:t>
      </w:r>
      <w:proofErr w:type="spellStart"/>
      <w:proofErr w:type="gramStart"/>
      <w:r w:rsidRPr="002C7433">
        <w:rPr>
          <w:sz w:val="28"/>
          <w:szCs w:val="28"/>
        </w:rPr>
        <w:t>xml</w:t>
      </w:r>
      <w:proofErr w:type="spellEnd"/>
      <w:proofErr w:type="gramEnd"/>
      <w:r w:rsidRPr="002C7433">
        <w:rPr>
          <w:sz w:val="28"/>
          <w:szCs w:val="28"/>
        </w:rPr>
        <w:t>”.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Po odnalezieniu naszego pliku naciskamy przycisk „Otwórz”, zobaczymy wówczas okno, w którym podajemy numer wyciągu.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Następnie naciskamy przycisk „OK”, po potwierdzeniu zapisu otrzymamy komunikat o ilości zaczytanych spłat.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Po naciśnięciu przycisku „OK” możemy przejść do wyświetlenia naszych zaczytanych przelewów.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>Okno Główne -&gt; menu „Baza” -&gt; następnie ”Przelewy z BANKU” -&gt; klikamy w opcję „Przeglądanie przelewów”, po czym otworzy nam się okno, w którym będziemy mogli zobaczyć zaczytane komunikaty.</w:t>
      </w:r>
    </w:p>
    <w:p w:rsidR="002C7433" w:rsidRPr="002C7433" w:rsidRDefault="002C7433" w:rsidP="002C7433">
      <w:pPr>
        <w:pStyle w:val="Akapitzlist"/>
        <w:rPr>
          <w:sz w:val="28"/>
          <w:szCs w:val="28"/>
        </w:rPr>
      </w:pPr>
      <w:r w:rsidRPr="002C7433">
        <w:rPr>
          <w:sz w:val="28"/>
          <w:szCs w:val="28"/>
        </w:rPr>
        <w:t xml:space="preserve"> </w:t>
      </w:r>
    </w:p>
    <w:p w:rsidR="002C7433" w:rsidRDefault="002C7433" w:rsidP="002C7433">
      <w:pPr>
        <w:pStyle w:val="Akapitzlist"/>
        <w:ind w:left="0"/>
        <w:rPr>
          <w:sz w:val="28"/>
          <w:szCs w:val="28"/>
        </w:rPr>
      </w:pPr>
    </w:p>
    <w:p w:rsidR="002C7433" w:rsidRDefault="002C7433" w:rsidP="00F850CA">
      <w:pPr>
        <w:pStyle w:val="Akapitzlist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Dodano podsumowanie zaległości w opcji „Zaległości”</w:t>
      </w:r>
    </w:p>
    <w:p w:rsidR="002C7433" w:rsidRDefault="002C7433" w:rsidP="002C7433">
      <w:pPr>
        <w:pStyle w:val="Akapitzlist"/>
        <w:ind w:left="0"/>
        <w:rPr>
          <w:sz w:val="28"/>
          <w:szCs w:val="28"/>
        </w:rPr>
      </w:pPr>
      <w:bookmarkStart w:id="0" w:name="_GoBack"/>
      <w:bookmarkEnd w:id="0"/>
    </w:p>
    <w:p w:rsidR="005A422A" w:rsidRDefault="005A422A" w:rsidP="00F850CA">
      <w:pPr>
        <w:pStyle w:val="Akapitzlist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Dodano opcje eksportu dekretów do pliku z rozszerzeniem „.</w:t>
      </w:r>
      <w:proofErr w:type="spellStart"/>
      <w:proofErr w:type="gramStart"/>
      <w:r>
        <w:rPr>
          <w:sz w:val="28"/>
          <w:szCs w:val="28"/>
        </w:rPr>
        <w:t>csv</w:t>
      </w:r>
      <w:proofErr w:type="spellEnd"/>
      <w:proofErr w:type="gramEnd"/>
      <w:r>
        <w:rPr>
          <w:sz w:val="28"/>
          <w:szCs w:val="28"/>
        </w:rPr>
        <w:t>”. Aby dokonać eksportu należy przejść do:</w:t>
      </w:r>
    </w:p>
    <w:p w:rsidR="005A422A" w:rsidRDefault="005A422A" w:rsidP="005A422A">
      <w:pPr>
        <w:rPr>
          <w:i/>
          <w:sz w:val="26"/>
          <w:szCs w:val="26"/>
        </w:rPr>
      </w:pPr>
      <w:r w:rsidRPr="005A422A">
        <w:rPr>
          <w:i/>
          <w:sz w:val="26"/>
          <w:szCs w:val="26"/>
        </w:rPr>
        <w:lastRenderedPageBreak/>
        <w:t>Okno Główne -&gt; menu „Księgowość” -&gt; następnie „Raporty” -&gt; „Eksporty” -&gt; klikamy na „</w:t>
      </w:r>
      <w:proofErr w:type="gramStart"/>
      <w:r w:rsidRPr="005A422A">
        <w:rPr>
          <w:i/>
          <w:sz w:val="26"/>
          <w:szCs w:val="26"/>
        </w:rPr>
        <w:t>Dekrety” po czym</w:t>
      </w:r>
      <w:proofErr w:type="gramEnd"/>
      <w:r w:rsidRPr="005A422A">
        <w:rPr>
          <w:i/>
          <w:sz w:val="26"/>
          <w:szCs w:val="26"/>
        </w:rPr>
        <w:t xml:space="preserve"> zobaczymy poniższe okno:</w:t>
      </w:r>
    </w:p>
    <w:p w:rsidR="005A422A" w:rsidRDefault="005A422A" w:rsidP="005A422A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4857750" cy="32099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44" cy="32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2A" w:rsidRDefault="005A422A" w:rsidP="005A422A">
      <w:pPr>
        <w:ind w:firstLine="708"/>
        <w:rPr>
          <w:sz w:val="26"/>
          <w:szCs w:val="26"/>
        </w:rPr>
      </w:pPr>
      <w:r>
        <w:rPr>
          <w:sz w:val="26"/>
          <w:szCs w:val="26"/>
        </w:rPr>
        <w:t>Możemy wyeksportować dane dla konkretnych produktów oraz daty. Aby rozpocząć naciskamy przycisk „Analiza”.</w:t>
      </w:r>
    </w:p>
    <w:p w:rsidR="002C7433" w:rsidRDefault="002C7433" w:rsidP="005A422A">
      <w:pPr>
        <w:ind w:firstLine="708"/>
        <w:rPr>
          <w:sz w:val="26"/>
          <w:szCs w:val="26"/>
        </w:rPr>
      </w:pPr>
    </w:p>
    <w:p w:rsidR="002C7433" w:rsidRDefault="002C7433" w:rsidP="005A422A">
      <w:pPr>
        <w:ind w:firstLine="708"/>
        <w:rPr>
          <w:sz w:val="26"/>
          <w:szCs w:val="26"/>
        </w:rPr>
      </w:pPr>
    </w:p>
    <w:p w:rsidR="002C7433" w:rsidRDefault="002C7433" w:rsidP="005A422A">
      <w:pPr>
        <w:ind w:firstLine="708"/>
        <w:rPr>
          <w:sz w:val="26"/>
          <w:szCs w:val="26"/>
        </w:rPr>
      </w:pPr>
    </w:p>
    <w:p w:rsidR="002C7433" w:rsidRDefault="002C7433" w:rsidP="005A422A">
      <w:pPr>
        <w:ind w:firstLine="708"/>
        <w:rPr>
          <w:sz w:val="26"/>
          <w:szCs w:val="26"/>
        </w:rPr>
      </w:pPr>
      <w:r>
        <w:rPr>
          <w:sz w:val="26"/>
          <w:szCs w:val="26"/>
        </w:rPr>
        <w:t>Instalacja</w:t>
      </w:r>
    </w:p>
    <w:p w:rsidR="002C7433" w:rsidRDefault="002C7433" w:rsidP="002C7433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Wykonać kopię bazy danych</w:t>
      </w:r>
    </w:p>
    <w:p w:rsidR="002C7433" w:rsidRDefault="002C7433" w:rsidP="002C7433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Uruchomić opcję Baza -&gt; Instalacja wersji</w:t>
      </w:r>
    </w:p>
    <w:p w:rsidR="002C7433" w:rsidRPr="002C7433" w:rsidRDefault="002C7433" w:rsidP="002C7433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Zaczytać wzorzec </w:t>
      </w:r>
    </w:p>
    <w:sectPr w:rsidR="002C7433" w:rsidRPr="002C7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8106B"/>
    <w:multiLevelType w:val="hybridMultilevel"/>
    <w:tmpl w:val="AB3E01E8"/>
    <w:lvl w:ilvl="0" w:tplc="B7FE0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412BC"/>
    <w:multiLevelType w:val="hybridMultilevel"/>
    <w:tmpl w:val="AF803C1A"/>
    <w:lvl w:ilvl="0" w:tplc="24F05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64C2D"/>
    <w:multiLevelType w:val="hybridMultilevel"/>
    <w:tmpl w:val="800CAE7E"/>
    <w:lvl w:ilvl="0" w:tplc="9552F2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FE7175"/>
    <w:multiLevelType w:val="hybridMultilevel"/>
    <w:tmpl w:val="58FE6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BC"/>
    <w:rsid w:val="000B3065"/>
    <w:rsid w:val="000C44B6"/>
    <w:rsid w:val="001256BB"/>
    <w:rsid w:val="0019451E"/>
    <w:rsid w:val="002C7433"/>
    <w:rsid w:val="003D47D8"/>
    <w:rsid w:val="00472D4D"/>
    <w:rsid w:val="00576434"/>
    <w:rsid w:val="005A422A"/>
    <w:rsid w:val="005D3010"/>
    <w:rsid w:val="007A2ABC"/>
    <w:rsid w:val="00B23DEA"/>
    <w:rsid w:val="00D94E28"/>
    <w:rsid w:val="00E429B9"/>
    <w:rsid w:val="00F25CA0"/>
    <w:rsid w:val="00F76708"/>
    <w:rsid w:val="00F850CA"/>
    <w:rsid w:val="00FA5AA6"/>
    <w:rsid w:val="00FD1A24"/>
    <w:rsid w:val="00FD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E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6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E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6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9888-6E90-492B-B04E-22241EDE9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Programista</dc:creator>
  <cp:keywords/>
  <dc:description/>
  <cp:lastModifiedBy>Programista</cp:lastModifiedBy>
  <cp:revision>17</cp:revision>
  <dcterms:created xsi:type="dcterms:W3CDTF">2016-02-22T09:52:00Z</dcterms:created>
  <dcterms:modified xsi:type="dcterms:W3CDTF">2016-02-22T12:32:00Z</dcterms:modified>
</cp:coreProperties>
</file>